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4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714"/>
        <w:gridCol w:w="810"/>
        <w:gridCol w:w="2835"/>
        <w:gridCol w:w="1617"/>
        <w:gridCol w:w="2530"/>
        <w:gridCol w:w="4527"/>
        <w:gridCol w:w="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79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ind w:right="325" w:rightChars="155"/>
              <w:textAlignment w:val="center"/>
              <w:rPr>
                <w:rFonts w:ascii="黑体" w:hAnsi="黑体" w:eastAsia="黑体" w:cs="黑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3051" w:type="dxa"/>
            <w:gridSpan w:val="7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1320" w:firstLineChars="300"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黑体" w:hAnsi="黑体" w:eastAsia="黑体" w:cs="宋体"/>
                <w:kern w:val="0"/>
                <w:sz w:val="44"/>
                <w:szCs w:val="44"/>
              </w:rPr>
              <w:t>淮南淮粮控股（集团）有限公司招聘岗位计划表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923" w:hRule="atLeast"/>
          <w:jc w:val="center"/>
        </w:trPr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岗位名称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人数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专业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学历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年龄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923" w:hRule="atLeast"/>
          <w:jc w:val="center"/>
        </w:trPr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投资融资专员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金融学、经济管理、财务管理、国际贸易、工商管理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本科及以上学历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1992年1月1日以后出生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具有初级经济师或助理会计师（中级经济师职称或会计师职称及具有相关工作经验优先）。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923" w:hRule="atLeast"/>
          <w:jc w:val="center"/>
        </w:trPr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会计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会计学、财务管理及相关专业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本科及以上学历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1992年1月1日以后出生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具有助理会计师及以上职称（会计师职称和有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相关工作经验优先）。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923" w:hRule="atLeast"/>
          <w:jc w:val="center"/>
        </w:trPr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综合办人员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汉语言文学、新闻学及相关专业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本科及以上学历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1992年1月1日以后出生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具有较强文字功底，擅长行政管理、宣传管理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工作等，相关工作经验优先。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Y2JlMzQ1MjI1Y2I5YjkyNjgzZmRlMmJjMWJlNDQifQ=="/>
  </w:docVars>
  <w:rsids>
    <w:rsidRoot w:val="098944B1"/>
    <w:rsid w:val="098944B1"/>
    <w:rsid w:val="0B81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266</Characters>
  <Lines>0</Lines>
  <Paragraphs>0</Paragraphs>
  <TotalTime>1</TotalTime>
  <ScaleCrop>false</ScaleCrop>
  <LinksUpToDate>false</LinksUpToDate>
  <CharactersWithSpaces>271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2023-08-04T08:31:00Z</dcterms:created>
  <dc:creator>管凯</dc:creator>
  <cp:lastModifiedBy>管凯</cp:lastModifiedBy>
  <dcterms:modified xsi:type="dcterms:W3CDTF">2023-08-04T08:33:31Z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39B8E63CF9234E9F84FD02ED4998D3FF_11</vt:lpwstr>
  </property>
</Properties>
</file>